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68" w:rsidRDefault="00C64068" w:rsidP="00455816">
      <w:pPr>
        <w:shd w:val="clear" w:color="auto" w:fill="FFFFFF"/>
        <w:autoSpaceDN w:val="0"/>
        <w:spacing w:after="0" w:line="240" w:lineRule="auto"/>
        <w:rPr>
          <w:rFonts w:ascii="Times New Roman" w:eastAsia="Times New Roman" w:hAnsi="Times New Roman" w:cs="Times New Roman"/>
          <w:b/>
          <w:bCs/>
          <w:sz w:val="24"/>
          <w:szCs w:val="24"/>
          <w:lang w:eastAsia="ru-RU"/>
        </w:rPr>
      </w:pPr>
    </w:p>
    <w:p w:rsidR="00455816" w:rsidRDefault="00455816" w:rsidP="00455816">
      <w:pPr>
        <w:shd w:val="clear" w:color="auto" w:fill="FFFFFF"/>
        <w:autoSpaceDN w:val="0"/>
        <w:spacing w:after="0" w:line="240" w:lineRule="auto"/>
        <w:rPr>
          <w:rFonts w:ascii="Times New Roman" w:eastAsia="Times New Roman" w:hAnsi="Times New Roman" w:cs="Times New Roman"/>
          <w:b/>
          <w:bCs/>
          <w:sz w:val="24"/>
          <w:szCs w:val="24"/>
          <w:lang w:eastAsia="ru-RU"/>
        </w:rPr>
      </w:pPr>
      <w:r w:rsidRPr="006839F5">
        <w:rPr>
          <w:rFonts w:ascii="Times New Roman" w:eastAsia="Times New Roman" w:hAnsi="Times New Roman" w:cs="Times New Roman"/>
          <w:b/>
          <w:bCs/>
          <w:sz w:val="24"/>
          <w:szCs w:val="24"/>
          <w:lang w:eastAsia="ru-RU"/>
        </w:rPr>
        <w:t>Виды педагогического сопровождения слабоуспевающего ученика на уроке</w:t>
      </w:r>
    </w:p>
    <w:p w:rsidR="00455816" w:rsidRPr="00AB25BF" w:rsidRDefault="00455816" w:rsidP="0045581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right"/>
        <w:rPr>
          <w:rFonts w:ascii="Times New Roman" w:eastAsia="SimSun" w:hAnsi="Times New Roman" w:cs="Times New Roman"/>
          <w:sz w:val="24"/>
          <w:szCs w:val="24"/>
          <w:lang w:eastAsia="ru-RU"/>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78"/>
        <w:gridCol w:w="6407"/>
      </w:tblGrid>
      <w:tr w:rsidR="00455816" w:rsidRPr="006839F5" w:rsidTr="00E068E9">
        <w:tc>
          <w:tcPr>
            <w:tcW w:w="2978"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jc w:val="center"/>
              <w:rPr>
                <w:rFonts w:ascii="Times New Roman" w:eastAsia="Times New Roman" w:hAnsi="Times New Roman" w:cs="Times New Roman"/>
                <w:b/>
                <w:sz w:val="24"/>
                <w:szCs w:val="24"/>
                <w:lang w:eastAsia="ru-RU"/>
              </w:rPr>
            </w:pPr>
            <w:r w:rsidRPr="006839F5">
              <w:rPr>
                <w:rFonts w:ascii="Times New Roman" w:eastAsia="Times New Roman" w:hAnsi="Times New Roman" w:cs="Times New Roman"/>
                <w:b/>
                <w:sz w:val="24"/>
                <w:szCs w:val="24"/>
                <w:lang w:eastAsia="ru-RU"/>
              </w:rPr>
              <w:t>Этапы урока</w:t>
            </w:r>
          </w:p>
        </w:tc>
        <w:tc>
          <w:tcPr>
            <w:tcW w:w="6407"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jc w:val="center"/>
              <w:rPr>
                <w:rFonts w:ascii="Times New Roman" w:eastAsia="Times New Roman" w:hAnsi="Times New Roman" w:cs="Times New Roman"/>
                <w:b/>
                <w:sz w:val="24"/>
                <w:szCs w:val="24"/>
                <w:lang w:eastAsia="ru-RU"/>
              </w:rPr>
            </w:pPr>
            <w:r w:rsidRPr="006839F5">
              <w:rPr>
                <w:rFonts w:ascii="Times New Roman" w:eastAsia="Times New Roman" w:hAnsi="Times New Roman" w:cs="Times New Roman"/>
                <w:b/>
                <w:sz w:val="24"/>
                <w:szCs w:val="24"/>
                <w:lang w:eastAsia="ru-RU"/>
              </w:rPr>
              <w:t>Виды педагогического сопровождения</w:t>
            </w:r>
          </w:p>
        </w:tc>
      </w:tr>
      <w:tr w:rsidR="00455816" w:rsidRPr="006839F5" w:rsidTr="00E068E9">
        <w:tc>
          <w:tcPr>
            <w:tcW w:w="2978"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В процессе контроля за подготовленностью учащихся</w:t>
            </w:r>
          </w:p>
        </w:tc>
        <w:tc>
          <w:tcPr>
            <w:tcW w:w="6407" w:type="dxa"/>
            <w:shd w:val="clear" w:color="auto" w:fill="FFFFFF"/>
            <w:tcMar>
              <w:top w:w="0" w:type="dxa"/>
              <w:left w:w="29" w:type="dxa"/>
              <w:bottom w:w="0" w:type="dxa"/>
              <w:right w:w="0" w:type="dxa"/>
            </w:tcMar>
            <w:hideMark/>
          </w:tcPr>
          <w:p w:rsidR="00455816" w:rsidRPr="006839F5" w:rsidRDefault="00455816" w:rsidP="00455816">
            <w:pPr>
              <w:widowControl w:val="0"/>
              <w:numPr>
                <w:ilvl w:val="0"/>
                <w:numId w:val="1"/>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Создание атмосферы особой доброжелательности при опросе.</w:t>
            </w:r>
          </w:p>
          <w:p w:rsidR="00455816" w:rsidRPr="006839F5" w:rsidRDefault="00455816" w:rsidP="00455816">
            <w:pPr>
              <w:widowControl w:val="0"/>
              <w:numPr>
                <w:ilvl w:val="0"/>
                <w:numId w:val="1"/>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Снижение темпа опроса, разрешение дольше готовиться у доски.</w:t>
            </w:r>
          </w:p>
          <w:p w:rsidR="00455816" w:rsidRPr="006839F5" w:rsidRDefault="00455816" w:rsidP="00455816">
            <w:pPr>
              <w:widowControl w:val="0"/>
              <w:numPr>
                <w:ilvl w:val="0"/>
                <w:numId w:val="1"/>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Предложение учащимся примерного плана ответа.</w:t>
            </w:r>
          </w:p>
          <w:p w:rsidR="00455816" w:rsidRPr="006839F5" w:rsidRDefault="00455816" w:rsidP="00455816">
            <w:pPr>
              <w:widowControl w:val="0"/>
              <w:numPr>
                <w:ilvl w:val="0"/>
                <w:numId w:val="1"/>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Разрешение пользоваться наглядными пособиями, помогающими излагать суть явления.</w:t>
            </w:r>
          </w:p>
          <w:p w:rsidR="00455816" w:rsidRPr="006839F5" w:rsidRDefault="00455816" w:rsidP="00455816">
            <w:pPr>
              <w:widowControl w:val="0"/>
              <w:numPr>
                <w:ilvl w:val="0"/>
                <w:numId w:val="1"/>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Стимулирование оценкой, подбадриванием, похвалой.</w:t>
            </w:r>
          </w:p>
        </w:tc>
      </w:tr>
      <w:tr w:rsidR="00455816" w:rsidRPr="006839F5" w:rsidTr="00E068E9">
        <w:tc>
          <w:tcPr>
            <w:tcW w:w="2978"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При изложении нового материала</w:t>
            </w:r>
          </w:p>
          <w:p w:rsidR="00455816" w:rsidRPr="006839F5" w:rsidRDefault="00455816" w:rsidP="00E068E9">
            <w:pPr>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 </w:t>
            </w:r>
          </w:p>
        </w:tc>
        <w:tc>
          <w:tcPr>
            <w:tcW w:w="6407" w:type="dxa"/>
            <w:shd w:val="clear" w:color="auto" w:fill="FFFFFF"/>
            <w:tcMar>
              <w:top w:w="0" w:type="dxa"/>
              <w:left w:w="29" w:type="dxa"/>
              <w:bottom w:w="0" w:type="dxa"/>
              <w:right w:w="0" w:type="dxa"/>
            </w:tcMar>
            <w:hideMark/>
          </w:tcPr>
          <w:p w:rsidR="00455816" w:rsidRPr="006839F5" w:rsidRDefault="00455816" w:rsidP="00455816">
            <w:pPr>
              <w:widowControl w:val="0"/>
              <w:numPr>
                <w:ilvl w:val="0"/>
                <w:numId w:val="2"/>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Применение мер поддержания интереса к усвоению темы</w:t>
            </w:r>
          </w:p>
          <w:p w:rsidR="00455816" w:rsidRPr="006839F5" w:rsidRDefault="00455816" w:rsidP="00455816">
            <w:pPr>
              <w:widowControl w:val="0"/>
              <w:numPr>
                <w:ilvl w:val="0"/>
                <w:numId w:val="2"/>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Более частое обращение к слабоуспевающим с вопросами, выясняющими степень понимания ими учебного материала.</w:t>
            </w:r>
          </w:p>
          <w:p w:rsidR="00455816" w:rsidRPr="006839F5" w:rsidRDefault="00455816" w:rsidP="00455816">
            <w:pPr>
              <w:widowControl w:val="0"/>
              <w:numPr>
                <w:ilvl w:val="0"/>
                <w:numId w:val="2"/>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Привлечение их в качестве помощников при подготовке приборов, опытов и т.д.</w:t>
            </w:r>
          </w:p>
          <w:p w:rsidR="00455816" w:rsidRPr="006839F5" w:rsidRDefault="00455816" w:rsidP="00455816">
            <w:pPr>
              <w:widowControl w:val="0"/>
              <w:numPr>
                <w:ilvl w:val="0"/>
                <w:numId w:val="2"/>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455816" w:rsidRPr="006839F5" w:rsidTr="00E068E9">
        <w:tc>
          <w:tcPr>
            <w:tcW w:w="2978"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При организации самостоятельной работы</w:t>
            </w:r>
          </w:p>
        </w:tc>
        <w:tc>
          <w:tcPr>
            <w:tcW w:w="6407" w:type="dxa"/>
            <w:shd w:val="clear" w:color="auto" w:fill="FFFFFF"/>
            <w:tcMar>
              <w:top w:w="0" w:type="dxa"/>
              <w:left w:w="29" w:type="dxa"/>
              <w:bottom w:w="0" w:type="dxa"/>
              <w:right w:w="0" w:type="dxa"/>
            </w:tcMar>
            <w:hideMark/>
          </w:tcPr>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Выбор для групп слабоуспевающих наиболее рациональной системы упражнений, а не механическое увеличение их числа.</w:t>
            </w:r>
          </w:p>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Более подробное объяснение последовательности выполнения задания.</w:t>
            </w:r>
          </w:p>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Ссылка на аналогичное задание, выполненное ранее.</w:t>
            </w:r>
          </w:p>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Напоминание приема и способа выполнения задания.</w:t>
            </w:r>
          </w:p>
          <w:p w:rsidR="00455816" w:rsidRPr="006839F5" w:rsidRDefault="00455816" w:rsidP="00455816">
            <w:pPr>
              <w:widowControl w:val="0"/>
              <w:numPr>
                <w:ilvl w:val="0"/>
                <w:numId w:val="3"/>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Инструктирование о рациональных путях выполнения заданий, требованиях к их оформлению.</w:t>
            </w:r>
          </w:p>
        </w:tc>
      </w:tr>
      <w:tr w:rsidR="00455816" w:rsidRPr="006839F5" w:rsidTr="00E068E9">
        <w:tc>
          <w:tcPr>
            <w:tcW w:w="2978" w:type="dxa"/>
            <w:shd w:val="clear" w:color="auto" w:fill="FFFFFF"/>
            <w:tcMar>
              <w:top w:w="0" w:type="dxa"/>
              <w:left w:w="29" w:type="dxa"/>
              <w:bottom w:w="0" w:type="dxa"/>
              <w:right w:w="0" w:type="dxa"/>
            </w:tcMar>
            <w:hideMark/>
          </w:tcPr>
          <w:p w:rsidR="00455816" w:rsidRPr="006839F5" w:rsidRDefault="00455816" w:rsidP="00E068E9">
            <w:pPr>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В ходе самостоятельной работы на уроке</w:t>
            </w:r>
          </w:p>
        </w:tc>
        <w:tc>
          <w:tcPr>
            <w:tcW w:w="6407" w:type="dxa"/>
            <w:shd w:val="clear" w:color="auto" w:fill="FFFFFF"/>
            <w:tcMar>
              <w:top w:w="0" w:type="dxa"/>
              <w:left w:w="29" w:type="dxa"/>
              <w:bottom w:w="0" w:type="dxa"/>
              <w:right w:w="0" w:type="dxa"/>
            </w:tcMar>
            <w:hideMark/>
          </w:tcPr>
          <w:p w:rsidR="00455816" w:rsidRPr="006839F5" w:rsidRDefault="00455816" w:rsidP="00455816">
            <w:pPr>
              <w:widowControl w:val="0"/>
              <w:numPr>
                <w:ilvl w:val="0"/>
                <w:numId w:val="4"/>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Разбивка заданий на дозы, этапы, выделение в сложных заданиях ряда простых.</w:t>
            </w:r>
          </w:p>
          <w:p w:rsidR="00455816" w:rsidRPr="006839F5" w:rsidRDefault="00455816" w:rsidP="00455816">
            <w:pPr>
              <w:widowControl w:val="0"/>
              <w:numPr>
                <w:ilvl w:val="0"/>
                <w:numId w:val="4"/>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Указание на необходимость актуализировать то или иное правило.</w:t>
            </w:r>
          </w:p>
          <w:p w:rsidR="00455816" w:rsidRPr="006839F5" w:rsidRDefault="00455816" w:rsidP="00455816">
            <w:pPr>
              <w:widowControl w:val="0"/>
              <w:numPr>
                <w:ilvl w:val="0"/>
                <w:numId w:val="4"/>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Ссылка на правила и свойства, которые необходимы для решения задач, упражнений.</w:t>
            </w:r>
          </w:p>
          <w:p w:rsidR="00455816" w:rsidRPr="006839F5" w:rsidRDefault="00455816" w:rsidP="00455816">
            <w:pPr>
              <w:widowControl w:val="0"/>
              <w:numPr>
                <w:ilvl w:val="0"/>
                <w:numId w:val="4"/>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Стимулирование самостоятельных действий слабоуспевающих.</w:t>
            </w:r>
          </w:p>
          <w:p w:rsidR="00455816" w:rsidRPr="006839F5" w:rsidRDefault="00455816" w:rsidP="00455816">
            <w:pPr>
              <w:widowControl w:val="0"/>
              <w:numPr>
                <w:ilvl w:val="0"/>
                <w:numId w:val="4"/>
              </w:numPr>
              <w:suppressAutoHyphens/>
              <w:autoSpaceDN w:val="0"/>
              <w:spacing w:after="0" w:line="240" w:lineRule="auto"/>
              <w:rPr>
                <w:rFonts w:ascii="Times New Roman" w:eastAsia="Times New Roman" w:hAnsi="Times New Roman" w:cs="Times New Roman"/>
                <w:sz w:val="24"/>
                <w:szCs w:val="24"/>
                <w:lang w:eastAsia="ru-RU"/>
              </w:rPr>
            </w:pPr>
            <w:r w:rsidRPr="006839F5">
              <w:rPr>
                <w:rFonts w:ascii="Times New Roman" w:eastAsia="Times New Roman" w:hAnsi="Times New Roman" w:cs="Times New Roman"/>
                <w:sz w:val="24"/>
                <w:szCs w:val="24"/>
                <w:lang w:eastAsia="ru-RU"/>
              </w:rPr>
              <w:t>Более тщательный контроль за их деятельностью, указание на ошибки, проверка, исправление.</w:t>
            </w:r>
          </w:p>
        </w:tc>
      </w:tr>
    </w:tbl>
    <w:p w:rsidR="00C976E9" w:rsidRDefault="00455816">
      <w:pPr>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 xml:space="preserve">Одними из важнейших моментов </w:t>
      </w:r>
      <w:r>
        <w:rPr>
          <w:rFonts w:ascii="Times New Roman" w:eastAsia="Times New Roman" w:hAnsi="Times New Roman" w:cs="Times New Roman"/>
          <w:color w:val="000000"/>
          <w:sz w:val="24"/>
          <w:szCs w:val="24"/>
          <w:lang w:eastAsia="ru-RU"/>
        </w:rPr>
        <w:t>-</w:t>
      </w:r>
      <w:r w:rsidRPr="006839F5">
        <w:rPr>
          <w:rFonts w:ascii="Times New Roman" w:eastAsia="Times New Roman" w:hAnsi="Times New Roman" w:cs="Times New Roman"/>
          <w:color w:val="000000"/>
          <w:sz w:val="24"/>
          <w:szCs w:val="24"/>
          <w:lang w:eastAsia="ru-RU"/>
        </w:rPr>
        <w:t> </w:t>
      </w:r>
      <w:r w:rsidRPr="006839F5">
        <w:rPr>
          <w:rFonts w:ascii="Times New Roman" w:eastAsia="Times New Roman" w:hAnsi="Times New Roman" w:cs="Times New Roman"/>
          <w:b/>
          <w:bCs/>
          <w:color w:val="000000"/>
          <w:sz w:val="24"/>
          <w:szCs w:val="24"/>
          <w:lang w:eastAsia="ru-RU"/>
        </w:rPr>
        <w:t>создание ситуации успеха на уроке,</w:t>
      </w:r>
      <w:r w:rsidRPr="006839F5">
        <w:rPr>
          <w:rFonts w:ascii="Times New Roman" w:eastAsia="Times New Roman" w:hAnsi="Times New Roman" w:cs="Times New Roman"/>
          <w:color w:val="000000"/>
          <w:sz w:val="24"/>
          <w:szCs w:val="24"/>
          <w:lang w:eastAsia="ru-RU"/>
        </w:rPr>
        <w:t> возможности исправить ошибку. Необходимо предлагать учащимся такие задания, которые помогают создать ситуацию успешности, реализуют право ребенка исправить ошибку. Причем ребенок может исправить ошибку незаметно для окружающих. Например, при заполнении кроссворда учащийся может сначала воспользоваться карандашом, чтобы при обнаружении ошибки стереть надпись</w:t>
      </w:r>
      <w:r>
        <w:rPr>
          <w:rFonts w:ascii="Times New Roman" w:eastAsia="Times New Roman" w:hAnsi="Times New Roman" w:cs="Times New Roman"/>
          <w:color w:val="000000"/>
          <w:sz w:val="24"/>
          <w:szCs w:val="24"/>
          <w:lang w:eastAsia="ru-RU"/>
        </w:rPr>
        <w:t>.</w:t>
      </w:r>
    </w:p>
    <w:p w:rsidR="00455816" w:rsidRDefault="00455816">
      <w:pPr>
        <w:rPr>
          <w:rFonts w:ascii="Times New Roman" w:eastAsia="Times New Roman" w:hAnsi="Times New Roman" w:cs="Times New Roman"/>
          <w:color w:val="000000"/>
          <w:sz w:val="24"/>
          <w:szCs w:val="24"/>
          <w:lang w:eastAsia="ru-RU"/>
        </w:rPr>
      </w:pPr>
    </w:p>
    <w:p w:rsidR="00C64068" w:rsidRDefault="00C64068"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Следующим важным принципом </w:t>
      </w:r>
      <w:r w:rsidR="00455816" w:rsidRPr="006839F5">
        <w:rPr>
          <w:rFonts w:ascii="Times New Roman" w:eastAsia="Times New Roman" w:hAnsi="Times New Roman" w:cs="Times New Roman"/>
          <w:color w:val="000000"/>
          <w:sz w:val="24"/>
          <w:szCs w:val="24"/>
          <w:lang w:eastAsia="ru-RU"/>
        </w:rPr>
        <w:t>является </w:t>
      </w:r>
      <w:r w:rsidR="00455816" w:rsidRPr="006839F5">
        <w:rPr>
          <w:rFonts w:ascii="Times New Roman" w:eastAsia="Times New Roman" w:hAnsi="Times New Roman" w:cs="Times New Roman"/>
          <w:b/>
          <w:bCs/>
          <w:color w:val="000000"/>
          <w:sz w:val="24"/>
          <w:szCs w:val="24"/>
          <w:lang w:eastAsia="ru-RU"/>
        </w:rPr>
        <w:t>использование большого количества игровых методов и форм</w:t>
      </w:r>
      <w:r w:rsidR="00455816" w:rsidRPr="006839F5">
        <w:rPr>
          <w:rFonts w:ascii="Times New Roman" w:eastAsia="Times New Roman" w:hAnsi="Times New Roman" w:cs="Times New Roman"/>
          <w:color w:val="000000"/>
          <w:sz w:val="24"/>
          <w:szCs w:val="24"/>
          <w:lang w:eastAsia="ru-RU"/>
        </w:rPr>
        <w:t>.</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 xml:space="preserve"> Например, это могут быть задания по конструированию предложений в 5 классе при изучении темы «Предложение».  </w:t>
      </w:r>
      <w:r w:rsidRPr="006839F5">
        <w:rPr>
          <w:rFonts w:ascii="Times New Roman" w:eastAsia="Times New Roman" w:hAnsi="Times New Roman" w:cs="Times New Roman"/>
          <w:color w:val="000000"/>
          <w:sz w:val="24"/>
          <w:szCs w:val="24"/>
          <w:shd w:val="clear" w:color="auto" w:fill="FFFFFF" w:themeFill="background1"/>
          <w:lang w:eastAsia="ru-RU"/>
        </w:rPr>
        <w:t>Учитель бросает мяч и называет овощ, фрукт, дерево, куст, ягоду. Обучающийся, поймавший мяч, составляет предложение о том, где растет это растение, и возвращает мяч учителю. Подобные</w:t>
      </w:r>
      <w:r w:rsidR="00C64068">
        <w:rPr>
          <w:rFonts w:ascii="Times New Roman" w:eastAsia="Times New Roman" w:hAnsi="Times New Roman" w:cs="Times New Roman"/>
          <w:color w:val="000000"/>
          <w:sz w:val="24"/>
          <w:szCs w:val="24"/>
          <w:shd w:val="clear" w:color="auto" w:fill="FFFFFF" w:themeFill="background1"/>
          <w:lang w:eastAsia="ru-RU"/>
        </w:rPr>
        <w:t xml:space="preserve"> </w:t>
      </w:r>
      <w:r w:rsidRPr="006839F5">
        <w:rPr>
          <w:rFonts w:ascii="Times New Roman" w:eastAsia="Times New Roman" w:hAnsi="Times New Roman" w:cs="Times New Roman"/>
          <w:color w:val="000000"/>
          <w:sz w:val="24"/>
          <w:szCs w:val="24"/>
          <w:lang w:eastAsia="ru-RU"/>
        </w:rPr>
        <w:t>задания воспринимаются учащимися как игра, они всегда выполняют их с удовольствием. Наблюдение учебного процесса доказывает, что данные задания учащиеся продуктивно выполняют даже в конце урока, когда их учебные возможности уже на исходе.</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 xml:space="preserve">Для учащихся с </w:t>
      </w:r>
      <w:r>
        <w:rPr>
          <w:rFonts w:ascii="Times New Roman" w:eastAsia="Times New Roman" w:hAnsi="Times New Roman" w:cs="Times New Roman"/>
          <w:color w:val="000000"/>
          <w:sz w:val="24"/>
          <w:szCs w:val="24"/>
          <w:lang w:eastAsia="ru-RU"/>
        </w:rPr>
        <w:t>ОВЗ</w:t>
      </w:r>
      <w:r w:rsidRPr="006839F5">
        <w:rPr>
          <w:rFonts w:ascii="Times New Roman" w:eastAsia="Times New Roman" w:hAnsi="Times New Roman" w:cs="Times New Roman"/>
          <w:color w:val="000000"/>
          <w:sz w:val="24"/>
          <w:szCs w:val="24"/>
          <w:lang w:eastAsia="ru-RU"/>
        </w:rPr>
        <w:t xml:space="preserve"> важно </w:t>
      </w:r>
      <w:r w:rsidRPr="006839F5">
        <w:rPr>
          <w:rFonts w:ascii="Times New Roman" w:eastAsia="Times New Roman" w:hAnsi="Times New Roman" w:cs="Times New Roman"/>
          <w:b/>
          <w:bCs/>
          <w:color w:val="000000"/>
          <w:sz w:val="24"/>
          <w:szCs w:val="24"/>
          <w:lang w:eastAsia="ru-RU"/>
        </w:rPr>
        <w:t>постепенное усложнение учебного материала, подача его небольшими дозами</w:t>
      </w:r>
      <w:r w:rsidRPr="006839F5">
        <w:rPr>
          <w:rFonts w:ascii="Times New Roman" w:eastAsia="Times New Roman" w:hAnsi="Times New Roman" w:cs="Times New Roman"/>
          <w:color w:val="000000"/>
          <w:sz w:val="24"/>
          <w:szCs w:val="24"/>
          <w:lang w:eastAsia="ru-RU"/>
        </w:rPr>
        <w:t xml:space="preserve">. При этом задания на каждом уроке необходимо усложнять постепенно (первыми необходимо давать более </w:t>
      </w:r>
      <w:r>
        <w:rPr>
          <w:rFonts w:ascii="Times New Roman" w:eastAsia="Times New Roman" w:hAnsi="Times New Roman" w:cs="Times New Roman"/>
          <w:color w:val="000000"/>
          <w:sz w:val="24"/>
          <w:szCs w:val="24"/>
          <w:lang w:eastAsia="ru-RU"/>
        </w:rPr>
        <w:t>простые задания). Учащимся с ОВЗ</w:t>
      </w:r>
      <w:r w:rsidRPr="006839F5">
        <w:rPr>
          <w:rFonts w:ascii="Times New Roman" w:eastAsia="Times New Roman" w:hAnsi="Times New Roman" w:cs="Times New Roman"/>
          <w:color w:val="000000"/>
          <w:sz w:val="24"/>
          <w:szCs w:val="24"/>
          <w:lang w:eastAsia="ru-RU"/>
        </w:rPr>
        <w:t xml:space="preserve"> важно предлагать достаточное число заданий, которые рекомендуется выполнять с помощью учебника. Анализ школьной практики и собственный опыт показали, что данные задания доступны всем учащимся с </w:t>
      </w:r>
      <w:r>
        <w:rPr>
          <w:rFonts w:ascii="Times New Roman" w:eastAsia="Times New Roman" w:hAnsi="Times New Roman" w:cs="Times New Roman"/>
          <w:color w:val="000000"/>
          <w:sz w:val="24"/>
          <w:szCs w:val="24"/>
          <w:lang w:eastAsia="ru-RU"/>
        </w:rPr>
        <w:t>ОВЗ</w:t>
      </w:r>
      <w:r w:rsidRPr="006839F5">
        <w:rPr>
          <w:rFonts w:ascii="Times New Roman" w:eastAsia="Times New Roman" w:hAnsi="Times New Roman" w:cs="Times New Roman"/>
          <w:color w:val="000000"/>
          <w:sz w:val="24"/>
          <w:szCs w:val="24"/>
          <w:lang w:eastAsia="ru-RU"/>
        </w:rPr>
        <w:t>.</w:t>
      </w:r>
    </w:p>
    <w:p w:rsidR="00455816" w:rsidRPr="006839F5" w:rsidRDefault="00C64068"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Важным</w:t>
      </w:r>
      <w:r w:rsidR="00455816" w:rsidRPr="006839F5">
        <w:rPr>
          <w:rFonts w:ascii="Times New Roman" w:eastAsia="Times New Roman" w:hAnsi="Times New Roman" w:cs="Times New Roman"/>
          <w:color w:val="000000"/>
          <w:sz w:val="24"/>
          <w:szCs w:val="24"/>
          <w:lang w:eastAsia="ru-RU"/>
        </w:rPr>
        <w:t xml:space="preserve"> является </w:t>
      </w:r>
      <w:r w:rsidR="00455816" w:rsidRPr="006839F5">
        <w:rPr>
          <w:rFonts w:ascii="Times New Roman" w:eastAsia="Times New Roman" w:hAnsi="Times New Roman" w:cs="Times New Roman"/>
          <w:b/>
          <w:bCs/>
          <w:color w:val="000000"/>
          <w:sz w:val="24"/>
          <w:szCs w:val="24"/>
          <w:lang w:eastAsia="ru-RU"/>
        </w:rPr>
        <w:t xml:space="preserve">частое переключение с одного вида деятельности учащихся на другой, </w:t>
      </w:r>
      <w:r w:rsidR="00455816" w:rsidRPr="006839F5">
        <w:rPr>
          <w:rFonts w:ascii="Times New Roman" w:eastAsia="Times New Roman" w:hAnsi="Times New Roman" w:cs="Times New Roman"/>
          <w:color w:val="000000"/>
          <w:sz w:val="24"/>
          <w:szCs w:val="24"/>
          <w:lang w:eastAsia="ru-RU"/>
        </w:rPr>
        <w:t>используя работу с учебником, с приложениями, заполнение схем, рисунков и т. д.</w:t>
      </w:r>
    </w:p>
    <w:p w:rsidR="00455816" w:rsidRPr="006839F5" w:rsidRDefault="00C64068"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организации учебной деятельности с  такой категорией учащихся</w:t>
      </w:r>
      <w:r w:rsidR="00455816" w:rsidRPr="006839F5">
        <w:rPr>
          <w:rFonts w:ascii="Times New Roman" w:eastAsia="Times New Roman" w:hAnsi="Times New Roman" w:cs="Times New Roman"/>
          <w:color w:val="000000"/>
          <w:sz w:val="24"/>
          <w:szCs w:val="24"/>
          <w:lang w:eastAsia="ru-RU"/>
        </w:rPr>
        <w:t xml:space="preserve"> необходимо использовать на уроке </w:t>
      </w:r>
      <w:r w:rsidR="00455816" w:rsidRPr="006839F5">
        <w:rPr>
          <w:rFonts w:ascii="Times New Roman" w:eastAsia="Times New Roman" w:hAnsi="Times New Roman" w:cs="Times New Roman"/>
          <w:b/>
          <w:bCs/>
          <w:color w:val="000000"/>
          <w:sz w:val="24"/>
          <w:szCs w:val="24"/>
          <w:lang w:eastAsia="ru-RU"/>
        </w:rPr>
        <w:t>большое количество красочного дидактического материала</w:t>
      </w:r>
      <w:r w:rsidR="00455816" w:rsidRPr="006839F5">
        <w:rPr>
          <w:rFonts w:ascii="Times New Roman" w:eastAsia="Times New Roman" w:hAnsi="Times New Roman" w:cs="Times New Roman"/>
          <w:color w:val="000000"/>
          <w:sz w:val="24"/>
          <w:szCs w:val="24"/>
          <w:lang w:eastAsia="ru-RU"/>
        </w:rPr>
        <w:t>, наглядных пособий.</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 xml:space="preserve">Для облегчения запоминания учебного материала необходимо использовать </w:t>
      </w:r>
      <w:r w:rsidRPr="006839F5">
        <w:rPr>
          <w:rFonts w:ascii="Times New Roman" w:eastAsia="Times New Roman" w:hAnsi="Times New Roman" w:cs="Times New Roman"/>
          <w:b/>
          <w:bCs/>
          <w:color w:val="000000"/>
          <w:sz w:val="24"/>
          <w:szCs w:val="24"/>
          <w:lang w:eastAsia="ru-RU"/>
        </w:rPr>
        <w:t>рациональные приемы запоминания</w:t>
      </w:r>
      <w:r w:rsidRPr="006839F5">
        <w:rPr>
          <w:rFonts w:ascii="Times New Roman" w:eastAsia="Times New Roman" w:hAnsi="Times New Roman" w:cs="Times New Roman"/>
          <w:color w:val="000000"/>
          <w:sz w:val="24"/>
          <w:szCs w:val="24"/>
          <w:lang w:eastAsia="ru-RU"/>
        </w:rPr>
        <w:t> (группировку слов и картинок, установление связей). Например</w:t>
      </w:r>
      <w:r>
        <w:rPr>
          <w:rFonts w:ascii="Times New Roman" w:eastAsia="Times New Roman" w:hAnsi="Times New Roman" w:cs="Times New Roman"/>
          <w:color w:val="000000"/>
          <w:sz w:val="24"/>
          <w:szCs w:val="24"/>
          <w:lang w:eastAsia="ru-RU"/>
        </w:rPr>
        <w:t>,</w:t>
      </w:r>
      <w:r w:rsidRPr="006839F5">
        <w:rPr>
          <w:rFonts w:ascii="Times New Roman" w:eastAsia="Times New Roman" w:hAnsi="Times New Roman" w:cs="Times New Roman"/>
          <w:color w:val="000000"/>
          <w:sz w:val="24"/>
          <w:szCs w:val="24"/>
          <w:lang w:eastAsia="ru-RU"/>
        </w:rPr>
        <w:t xml:space="preserve"> при запоминании словарных слов или орфографических и пунктуационных правил.</w:t>
      </w:r>
      <w:r w:rsidR="00E00A3D">
        <w:rPr>
          <w:rFonts w:ascii="Times New Roman" w:eastAsia="Times New Roman" w:hAnsi="Times New Roman" w:cs="Times New Roman"/>
          <w:color w:val="000000"/>
          <w:sz w:val="24"/>
          <w:szCs w:val="24"/>
          <w:lang w:eastAsia="ru-RU"/>
        </w:rPr>
        <w:t xml:space="preserve"> Например, при запоминании формул использовать рифмы.</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С целью эффективного усвоения учебного материала учащимися с ЗПР необходимо </w:t>
      </w:r>
      <w:r w:rsidRPr="006839F5">
        <w:rPr>
          <w:rFonts w:ascii="Times New Roman" w:eastAsia="Times New Roman" w:hAnsi="Times New Roman" w:cs="Times New Roman"/>
          <w:b/>
          <w:bCs/>
          <w:color w:val="000000"/>
          <w:sz w:val="24"/>
          <w:szCs w:val="24"/>
          <w:lang w:eastAsia="ru-RU"/>
        </w:rPr>
        <w:t>многократное, поэтапное повторение, частое обращение к «старым» знаниями. </w:t>
      </w:r>
      <w:r w:rsidRPr="006839F5">
        <w:rPr>
          <w:rFonts w:ascii="Times New Roman" w:eastAsia="Times New Roman" w:hAnsi="Times New Roman" w:cs="Times New Roman"/>
          <w:color w:val="000000"/>
          <w:sz w:val="24"/>
          <w:szCs w:val="24"/>
          <w:lang w:eastAsia="ru-RU"/>
        </w:rPr>
        <w:t>Задания на повторение необходимы на каждом этапе урока. Например, повторение как материала, изученного недавно, так и ранее изученного материала. В конце каждой темы организуется итоговое повторение с помощью различных методов и приёмов (кроссворды, мозаика, «дорожка знаний» и т. п.).</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Для облегчен</w:t>
      </w:r>
      <w:r w:rsidR="00E00A3D">
        <w:rPr>
          <w:rFonts w:ascii="Times New Roman" w:eastAsia="Times New Roman" w:hAnsi="Times New Roman" w:cs="Times New Roman"/>
          <w:color w:val="000000"/>
          <w:sz w:val="24"/>
          <w:szCs w:val="24"/>
          <w:lang w:eastAsia="ru-RU"/>
        </w:rPr>
        <w:t>ия работы учащихся важно</w:t>
      </w:r>
      <w:r w:rsidRPr="006839F5">
        <w:rPr>
          <w:rFonts w:ascii="Times New Roman" w:eastAsia="Times New Roman" w:hAnsi="Times New Roman" w:cs="Times New Roman"/>
          <w:color w:val="000000"/>
          <w:sz w:val="24"/>
          <w:szCs w:val="24"/>
          <w:lang w:eastAsia="ru-RU"/>
        </w:rPr>
        <w:t xml:space="preserve"> использовать достаточное количество </w:t>
      </w:r>
      <w:r w:rsidRPr="006839F5">
        <w:rPr>
          <w:rFonts w:ascii="Times New Roman" w:eastAsia="Times New Roman" w:hAnsi="Times New Roman" w:cs="Times New Roman"/>
          <w:b/>
          <w:bCs/>
          <w:color w:val="000000"/>
          <w:sz w:val="24"/>
          <w:szCs w:val="24"/>
          <w:lang w:eastAsia="ru-RU"/>
        </w:rPr>
        <w:t>заданий с опорой на образец</w:t>
      </w:r>
      <w:r w:rsidRPr="006839F5">
        <w:rPr>
          <w:rFonts w:ascii="Times New Roman" w:eastAsia="Times New Roman" w:hAnsi="Times New Roman" w:cs="Times New Roman"/>
          <w:color w:val="000000"/>
          <w:sz w:val="24"/>
          <w:szCs w:val="24"/>
          <w:lang w:eastAsia="ru-RU"/>
        </w:rPr>
        <w:t xml:space="preserve">, то есть заданий репродуктивного характера. Это могут быть задания по заполнению схем, таблиц, составлению ментальных карт. При этом учебный материал вначале нужно разобрать с ребятами по учебнику, лишь затем предложить выполнить задания в тетради. </w:t>
      </w:r>
    </w:p>
    <w:p w:rsidR="00455816" w:rsidRPr="006839F5" w:rsidRDefault="00455816" w:rsidP="004558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839F5">
        <w:rPr>
          <w:rFonts w:ascii="Times New Roman" w:eastAsia="Times New Roman" w:hAnsi="Times New Roman" w:cs="Times New Roman"/>
          <w:color w:val="000000"/>
          <w:sz w:val="24"/>
          <w:szCs w:val="24"/>
          <w:lang w:eastAsia="ru-RU"/>
        </w:rPr>
        <w:t>Исходя из психологических особенностей изучаем</w:t>
      </w:r>
      <w:r w:rsidR="00E00A3D">
        <w:rPr>
          <w:rFonts w:ascii="Times New Roman" w:eastAsia="Times New Roman" w:hAnsi="Times New Roman" w:cs="Times New Roman"/>
          <w:color w:val="000000"/>
          <w:sz w:val="24"/>
          <w:szCs w:val="24"/>
          <w:lang w:eastAsia="ru-RU"/>
        </w:rPr>
        <w:t>ых детей</w:t>
      </w:r>
      <w:r w:rsidRPr="006839F5">
        <w:rPr>
          <w:rFonts w:ascii="Times New Roman" w:eastAsia="Times New Roman" w:hAnsi="Times New Roman" w:cs="Times New Roman"/>
          <w:color w:val="000000"/>
          <w:sz w:val="24"/>
          <w:szCs w:val="24"/>
          <w:lang w:eastAsia="ru-RU"/>
        </w:rPr>
        <w:t xml:space="preserve"> на </w:t>
      </w:r>
      <w:proofErr w:type="gramStart"/>
      <w:r w:rsidRPr="006839F5">
        <w:rPr>
          <w:rFonts w:ascii="Times New Roman" w:eastAsia="Times New Roman" w:hAnsi="Times New Roman" w:cs="Times New Roman"/>
          <w:color w:val="000000"/>
          <w:sz w:val="24"/>
          <w:szCs w:val="24"/>
          <w:lang w:eastAsia="ru-RU"/>
        </w:rPr>
        <w:t>уроках  необходимо</w:t>
      </w:r>
      <w:proofErr w:type="gramEnd"/>
      <w:r w:rsidR="00E00A3D">
        <w:rPr>
          <w:rFonts w:ascii="Times New Roman" w:eastAsia="Times New Roman" w:hAnsi="Times New Roman" w:cs="Times New Roman"/>
          <w:color w:val="000000"/>
          <w:sz w:val="24"/>
          <w:szCs w:val="24"/>
          <w:lang w:eastAsia="ru-RU"/>
        </w:rPr>
        <w:t xml:space="preserve"> </w:t>
      </w:r>
      <w:r w:rsidRPr="006839F5">
        <w:rPr>
          <w:rFonts w:ascii="Times New Roman" w:eastAsia="Times New Roman" w:hAnsi="Times New Roman" w:cs="Times New Roman"/>
          <w:color w:val="000000"/>
          <w:sz w:val="24"/>
          <w:szCs w:val="24"/>
          <w:lang w:eastAsia="ru-RU"/>
        </w:rPr>
        <w:t xml:space="preserve"> использовать задания, направленные на </w:t>
      </w:r>
      <w:r w:rsidRPr="006839F5">
        <w:rPr>
          <w:rFonts w:ascii="Times New Roman" w:eastAsia="Times New Roman" w:hAnsi="Times New Roman" w:cs="Times New Roman"/>
          <w:b/>
          <w:bCs/>
          <w:color w:val="000000"/>
          <w:sz w:val="24"/>
          <w:szCs w:val="24"/>
          <w:lang w:eastAsia="ru-RU"/>
        </w:rPr>
        <w:t>развитие мелкой моторики учащихся</w:t>
      </w:r>
      <w:r w:rsidRPr="006839F5">
        <w:rPr>
          <w:rFonts w:ascii="Times New Roman" w:eastAsia="Times New Roman" w:hAnsi="Times New Roman" w:cs="Times New Roman"/>
          <w:color w:val="000000"/>
          <w:sz w:val="24"/>
          <w:szCs w:val="24"/>
          <w:lang w:eastAsia="ru-RU"/>
        </w:rPr>
        <w:t>. Этому способствует работа с пластилиновыми моделями, которые выполняют учащиеся. Кроме того, такая работа помогает воспитывать усидчивость, сосредоточенность, трудолюбие, развивает восприятие, повышает интерес у</w:t>
      </w:r>
      <w:r w:rsidR="00E00A3D">
        <w:rPr>
          <w:rFonts w:ascii="Times New Roman" w:eastAsia="Times New Roman" w:hAnsi="Times New Roman" w:cs="Times New Roman"/>
          <w:color w:val="000000"/>
          <w:sz w:val="24"/>
          <w:szCs w:val="24"/>
          <w:lang w:eastAsia="ru-RU"/>
        </w:rPr>
        <w:t>чащихся как к работе в тетради.</w:t>
      </w:r>
    </w:p>
    <w:p w:rsidR="00455816" w:rsidRDefault="00455816"/>
    <w:p w:rsidR="00455816" w:rsidRDefault="00455816"/>
    <w:p w:rsidR="00455816" w:rsidRDefault="00455816">
      <w:bookmarkStart w:id="0" w:name="_GoBack"/>
      <w:bookmarkEnd w:id="0"/>
    </w:p>
    <w:sectPr w:rsidR="00455816" w:rsidSect="00C9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6BD1"/>
    <w:multiLevelType w:val="hybridMultilevel"/>
    <w:tmpl w:val="3586A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4FC028F"/>
    <w:multiLevelType w:val="multilevel"/>
    <w:tmpl w:val="DD6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323E9"/>
    <w:multiLevelType w:val="multilevel"/>
    <w:tmpl w:val="CFB2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30D8B"/>
    <w:multiLevelType w:val="multilevel"/>
    <w:tmpl w:val="7DF0F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83BD5"/>
    <w:multiLevelType w:val="multilevel"/>
    <w:tmpl w:val="3186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36E86"/>
    <w:multiLevelType w:val="multilevel"/>
    <w:tmpl w:val="B6CC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16"/>
    <w:rsid w:val="00123075"/>
    <w:rsid w:val="00367A13"/>
    <w:rsid w:val="00455816"/>
    <w:rsid w:val="00C64068"/>
    <w:rsid w:val="00C976E9"/>
    <w:rsid w:val="00E0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F6408-8CE7-4D00-B495-D1E9939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пк</cp:lastModifiedBy>
  <cp:revision>2</cp:revision>
  <dcterms:created xsi:type="dcterms:W3CDTF">2023-06-13T04:11:00Z</dcterms:created>
  <dcterms:modified xsi:type="dcterms:W3CDTF">2023-06-13T04:11:00Z</dcterms:modified>
</cp:coreProperties>
</file>